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E7" w:rsidRPr="007B6978" w:rsidRDefault="007731CC" w:rsidP="00140C39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66.5pt;margin-top:-15.1pt;width:55pt;height:20.3pt;z-index:1;visibility:visible">
            <v:textbox inset="5.85pt,.7pt,5.85pt,.7pt">
              <w:txbxContent>
                <w:p w:rsidR="006361E7" w:rsidRPr="00BB0E4D" w:rsidRDefault="006361E7">
                  <w:pPr>
                    <w:rPr>
                      <w:rFonts w:ascii="ＭＳ ゴシック" w:eastAsia="ＭＳ ゴシック" w:hAnsi="ＭＳ ゴシック" w:cs="Times New Roman"/>
                    </w:rPr>
                  </w:pPr>
                  <w:r w:rsidRPr="00BB0E4D">
                    <w:rPr>
                      <w:rFonts w:ascii="ＭＳ ゴシック" w:eastAsia="ＭＳ ゴシック" w:hAnsi="ＭＳ ゴシック" w:cs="ＭＳ ゴシック" w:hint="eastAsia"/>
                    </w:rPr>
                    <w:t>別添</w:t>
                  </w:r>
                  <w:r>
                    <w:rPr>
                      <w:rFonts w:ascii="ＭＳ ゴシック" w:eastAsia="ＭＳ ゴシック" w:hAnsi="ＭＳ ゴシック" w:cs="ＭＳ ゴシック"/>
                    </w:rPr>
                    <w:t>1-1</w:t>
                  </w:r>
                </w:p>
              </w:txbxContent>
            </v:textbox>
          </v:shape>
        </w:pict>
      </w:r>
      <w:r w:rsidR="006361E7" w:rsidRPr="007B69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医薬品情報調査資料　記入様式（</w:t>
      </w:r>
      <w:r w:rsidR="0029498F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内服薬</w:t>
      </w:r>
      <w:r w:rsidR="006361E7" w:rsidRPr="007B69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・外用</w:t>
      </w:r>
      <w:r w:rsidR="0029498F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薬</w:t>
      </w:r>
      <w:r w:rsidR="006361E7" w:rsidRPr="007B69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）　</w:t>
      </w:r>
      <w:r w:rsidR="006361E7" w:rsidRPr="007B6978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提出日</w:t>
      </w:r>
      <w:r w:rsidR="006361E7" w:rsidRPr="007B6978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(                  )</w:t>
      </w:r>
    </w:p>
    <w:tbl>
      <w:tblPr>
        <w:tblpPr w:leftFromText="142" w:rightFromText="142" w:vertAnchor="page" w:horzAnchor="margin" w:tblpY="1552"/>
        <w:tblW w:w="10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4"/>
        <w:gridCol w:w="2375"/>
        <w:gridCol w:w="885"/>
        <w:gridCol w:w="1276"/>
        <w:gridCol w:w="283"/>
        <w:gridCol w:w="567"/>
        <w:gridCol w:w="1134"/>
        <w:gridCol w:w="709"/>
        <w:gridCol w:w="283"/>
        <w:gridCol w:w="963"/>
        <w:gridCol w:w="1558"/>
      </w:tblGrid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商品名（一般名）</w:t>
            </w:r>
          </w:p>
        </w:tc>
        <w:tc>
          <w:tcPr>
            <w:tcW w:w="7658" w:type="dxa"/>
            <w:gridSpan w:val="9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bookmarkStart w:id="0" w:name="_GoBack"/>
            <w:bookmarkEnd w:id="0"/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製薬会社名　</w:t>
            </w:r>
            <w:r w:rsidRPr="007B6978">
              <w:rPr>
                <w:rFonts w:ascii="ＭＳ ゴシック" w:eastAsia="ＭＳ ゴシック" w:hAnsi="ＭＳ ゴシック" w:cs="ＭＳ ゴシック"/>
              </w:rPr>
              <w:t>Tel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情報作成者</w:t>
            </w:r>
          </w:p>
        </w:tc>
        <w:tc>
          <w:tcPr>
            <w:tcW w:w="7658" w:type="dxa"/>
            <w:gridSpan w:val="9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薬価収載年月</w:t>
            </w:r>
          </w:p>
        </w:tc>
        <w:tc>
          <w:tcPr>
            <w:tcW w:w="2444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:rsidR="006361E7" w:rsidRPr="007B6978" w:rsidRDefault="006361E7" w:rsidP="007D72A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薬価</w:t>
            </w:r>
          </w:p>
        </w:tc>
        <w:tc>
          <w:tcPr>
            <w:tcW w:w="2521" w:type="dxa"/>
            <w:gridSpan w:val="2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5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厚生労働省コード</w:t>
            </w:r>
          </w:p>
        </w:tc>
        <w:tc>
          <w:tcPr>
            <w:tcW w:w="2444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:rsidR="006361E7" w:rsidRPr="007B6978" w:rsidRDefault="006361E7" w:rsidP="007D72A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ＹＪコード</w:t>
            </w:r>
          </w:p>
        </w:tc>
        <w:tc>
          <w:tcPr>
            <w:tcW w:w="2521" w:type="dxa"/>
            <w:gridSpan w:val="2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7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レセプト電算コード</w:t>
            </w:r>
          </w:p>
        </w:tc>
        <w:tc>
          <w:tcPr>
            <w:tcW w:w="2444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:rsidR="006361E7" w:rsidRPr="007B6978" w:rsidRDefault="006361E7" w:rsidP="007D72A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8</w:t>
            </w:r>
          </w:p>
        </w:tc>
        <w:tc>
          <w:tcPr>
            <w:tcW w:w="2126" w:type="dxa"/>
            <w:gridSpan w:val="3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統一商品コード</w:t>
            </w:r>
          </w:p>
        </w:tc>
        <w:tc>
          <w:tcPr>
            <w:tcW w:w="2521" w:type="dxa"/>
            <w:gridSpan w:val="2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9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規制区分</w:t>
            </w:r>
          </w:p>
        </w:tc>
        <w:tc>
          <w:tcPr>
            <w:tcW w:w="7658" w:type="dxa"/>
            <w:gridSpan w:val="9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普通薬　劇薬　毒薬　麻薬　向精神薬（１種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２種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３種）　特定生物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10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長期投与の可否</w:t>
            </w:r>
          </w:p>
        </w:tc>
        <w:tc>
          <w:tcPr>
            <w:tcW w:w="7658" w:type="dxa"/>
            <w:gridSpan w:val="9"/>
            <w:tcBorders>
              <w:bottom w:val="double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□可：　　年　　月　　日まで不可　　　　□不可（　　　日可）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（不可の理由：　　　）</w:t>
            </w:r>
          </w:p>
        </w:tc>
      </w:tr>
      <w:tr w:rsidR="006361E7" w:rsidRPr="007B6978">
        <w:trPr>
          <w:trHeight w:val="1723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11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作用機序と特徴</w:t>
            </w:r>
          </w:p>
        </w:tc>
        <w:tc>
          <w:tcPr>
            <w:tcW w:w="7658" w:type="dxa"/>
            <w:gridSpan w:val="9"/>
            <w:tcBorders>
              <w:top w:val="double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12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二重盲検比較試験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・対照薬剤（　　　　　　　　　　　　　　）　・プラセボ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13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同種同効薬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14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用法用量とその根拠</w:t>
            </w:r>
          </w:p>
        </w:tc>
        <w:tc>
          <w:tcPr>
            <w:tcW w:w="6100" w:type="dxa"/>
            <w:gridSpan w:val="8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15</w:t>
            </w:r>
          </w:p>
        </w:tc>
        <w:tc>
          <w:tcPr>
            <w:tcW w:w="2375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最大投与量</w:t>
            </w:r>
          </w:p>
        </w:tc>
        <w:tc>
          <w:tcPr>
            <w:tcW w:w="885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１回量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１日量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日数</w:t>
            </w:r>
          </w:p>
        </w:tc>
        <w:tc>
          <w:tcPr>
            <w:tcW w:w="1246" w:type="dxa"/>
            <w:gridSpan w:val="2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5215" w:type="dxa"/>
            <w:gridSpan w:val="7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16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小児用量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17</w:t>
            </w:r>
          </w:p>
        </w:tc>
        <w:tc>
          <w:tcPr>
            <w:tcW w:w="2375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小児最大投与量</w:t>
            </w:r>
          </w:p>
        </w:tc>
        <w:tc>
          <w:tcPr>
            <w:tcW w:w="885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１回量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１日量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日数</w:t>
            </w:r>
          </w:p>
        </w:tc>
        <w:tc>
          <w:tcPr>
            <w:tcW w:w="1246" w:type="dxa"/>
            <w:gridSpan w:val="2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720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5215" w:type="dxa"/>
            <w:gridSpan w:val="7"/>
            <w:tcBorders>
              <w:left w:val="dotted" w:sz="4" w:space="0" w:color="auto"/>
            </w:tcBorders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72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18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高齢者用量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533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19</w:t>
            </w:r>
          </w:p>
        </w:tc>
        <w:tc>
          <w:tcPr>
            <w:tcW w:w="2375" w:type="dxa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体内薬物動態</w:t>
            </w:r>
          </w:p>
        </w:tc>
        <w:tc>
          <w:tcPr>
            <w:tcW w:w="6100" w:type="dxa"/>
            <w:gridSpan w:val="8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詳細記載項目１参照</w:t>
            </w:r>
          </w:p>
        </w:tc>
        <w:tc>
          <w:tcPr>
            <w:tcW w:w="1558" w:type="dxa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1398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lastRenderedPageBreak/>
              <w:t>20</w:t>
            </w:r>
          </w:p>
        </w:tc>
        <w:tc>
          <w:tcPr>
            <w:tcW w:w="2375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腎機能障害時の投与量・注意事項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□通常量使用可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□減量が必要（　　　　　　　　　　　　　　　　　　　　　）</w:t>
            </w:r>
          </w:p>
        </w:tc>
        <w:tc>
          <w:tcPr>
            <w:tcW w:w="1558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688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透析除去率</w:t>
            </w: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170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21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肝機能障害時の投与量・注意事項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□通常量使用可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□減量が必要（　　　　　　　　　　　　　　　　　　　　　）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1237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22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妊婦への投与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□可　□条件付可（　　　　　　　　　　　）□不可　□不明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1242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23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授乳婦への投与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□可　□条件付可（　　　　　　　　　　　）□不可　□不明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900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24</w:t>
            </w:r>
          </w:p>
        </w:tc>
        <w:tc>
          <w:tcPr>
            <w:tcW w:w="2375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錠剤粉砕・脱カプセルの可否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□可　　　　光（　　　　）温度（　　　　）</w:t>
            </w:r>
          </w:p>
          <w:p w:rsidR="006361E7" w:rsidRPr="007B6978" w:rsidRDefault="006361E7" w:rsidP="00730835">
            <w:pPr>
              <w:ind w:firstLineChars="700" w:firstLine="1470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含量</w:t>
            </w:r>
            <w:r w:rsidRPr="007B6978">
              <w:rPr>
                <w:rFonts w:ascii="ＭＳ ゴシック" w:eastAsia="ＭＳ ゴシック" w:hAnsi="ＭＳ ゴシック" w:cs="ＭＳ ゴシック"/>
              </w:rPr>
              <w:t>90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％以上保たれる日数（　　　　）</w:t>
            </w:r>
          </w:p>
        </w:tc>
        <w:tc>
          <w:tcPr>
            <w:tcW w:w="1558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540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□条件付可　</w:t>
            </w: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637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□否（理由　　　　　　　　　　　　　　　　　　　　　）</w:t>
            </w: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689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25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錠剤の割線の有無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□有　　　□無　　　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827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26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錠剤・カプセル剤の重量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　　　　　ｇ±　　ｇ</w:t>
            </w:r>
            <w:r w:rsidRPr="007B6978">
              <w:rPr>
                <w:rFonts w:ascii="ＭＳ ゴシック" w:eastAsia="ＭＳ ゴシック" w:hAnsi="ＭＳ ゴシック" w:cs="ＭＳ ゴシック"/>
              </w:rPr>
              <w:t>/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個または</w:t>
            </w:r>
            <w:r w:rsidRPr="007B6978">
              <w:rPr>
                <w:rFonts w:ascii="ＭＳ ゴシック" w:eastAsia="ＭＳ ゴシック" w:hAnsi="ＭＳ ゴシック" w:cs="ＭＳ ゴシック"/>
              </w:rPr>
              <w:t>Cap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82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27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配合変化（散薬・水薬・軟膏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クリームの場合）</w:t>
            </w:r>
          </w:p>
        </w:tc>
        <w:tc>
          <w:tcPr>
            <w:tcW w:w="6100" w:type="dxa"/>
            <w:gridSpan w:val="8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472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28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脱シート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安定な期間：　　　　　日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28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29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半錠分割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安定な期間：　　　　　日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360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30</w:t>
            </w:r>
          </w:p>
        </w:tc>
        <w:tc>
          <w:tcPr>
            <w:tcW w:w="2375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簡易懸濁の可否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□可　温度（　　）℃　　時間（　　）分</w:t>
            </w:r>
          </w:p>
          <w:p w:rsidR="006361E7" w:rsidRPr="007B6978" w:rsidRDefault="006361E7" w:rsidP="007D72AF">
            <w:pPr>
              <w:ind w:firstLineChars="300" w:firstLine="63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経管チューブ：（　　　　）ｆ</w:t>
            </w:r>
            <w:r w:rsidRPr="007B6978">
              <w:rPr>
                <w:rFonts w:ascii="ＭＳ ゴシック" w:eastAsia="ＭＳ ゴシック" w:hAnsi="ＭＳ ゴシック" w:cs="ＭＳ ゴシック"/>
              </w:rPr>
              <w:t>r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以上を使用</w:t>
            </w:r>
          </w:p>
          <w:p w:rsidR="006361E7" w:rsidRPr="007B6978" w:rsidRDefault="006361E7" w:rsidP="007D72AF">
            <w:pPr>
              <w:ind w:firstLineChars="300" w:firstLine="63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注意事項：</w:t>
            </w:r>
          </w:p>
        </w:tc>
        <w:tc>
          <w:tcPr>
            <w:tcW w:w="1558" w:type="dxa"/>
            <w:vMerge w:val="restart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661"/>
        </w:trPr>
        <w:tc>
          <w:tcPr>
            <w:tcW w:w="534" w:type="dxa"/>
            <w:vMerge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□否　（理由：　　　　　　　　　　　　　　　　　　）</w:t>
            </w:r>
          </w:p>
        </w:tc>
        <w:tc>
          <w:tcPr>
            <w:tcW w:w="1558" w:type="dxa"/>
            <w:vMerge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361E7" w:rsidRPr="007B6978">
        <w:trPr>
          <w:trHeight w:val="968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31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保管に関する注意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（温度、遮光等）</w:t>
            </w:r>
          </w:p>
        </w:tc>
        <w:tc>
          <w:tcPr>
            <w:tcW w:w="6100" w:type="dxa"/>
            <w:gridSpan w:val="8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147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lastRenderedPageBreak/>
              <w:t>32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服用時間（食前・食後等）による吸収の差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□差がある　　□差がない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吸収差の程度：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最適な服用時間帯：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2021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33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飲み忘れ時の対処法</w:t>
            </w:r>
          </w:p>
        </w:tc>
        <w:tc>
          <w:tcPr>
            <w:tcW w:w="6100" w:type="dxa"/>
            <w:gridSpan w:val="8"/>
          </w:tcPr>
          <w:p w:rsidR="006361E7" w:rsidRPr="007B6978" w:rsidRDefault="006361E7" w:rsidP="007D72AF">
            <w:pPr>
              <w:rPr>
                <w:rFonts w:eastAsia="ＭＳ ゴシック" w:cs="Times New Roman"/>
              </w:rPr>
            </w:pPr>
            <w:r w:rsidRPr="007B6978">
              <w:rPr>
                <w:rFonts w:eastAsia="ＭＳ ゴシック" w:cs="ＭＳ ゴシック" w:hint="eastAsia"/>
              </w:rPr>
              <w:t>□忘れた分は服用しない（とばす）</w:t>
            </w:r>
          </w:p>
          <w:p w:rsidR="006361E7" w:rsidRPr="007B6978" w:rsidRDefault="006361E7" w:rsidP="007D72AF">
            <w:pPr>
              <w:rPr>
                <w:rFonts w:eastAsia="ＭＳ ゴシック" w:cs="Times New Roman"/>
              </w:rPr>
            </w:pPr>
            <w:r w:rsidRPr="007B6978">
              <w:rPr>
                <w:rFonts w:eastAsia="ＭＳ ゴシック" w:cs="ＭＳ ゴシック" w:hint="eastAsia"/>
              </w:rPr>
              <w:t>□気付いた時すぐ服用</w:t>
            </w:r>
          </w:p>
          <w:p w:rsidR="006361E7" w:rsidRPr="007B6978" w:rsidRDefault="006361E7" w:rsidP="007D72AF">
            <w:pPr>
              <w:ind w:firstLineChars="100" w:firstLine="210"/>
              <w:rPr>
                <w:rFonts w:eastAsia="ＭＳ ゴシック" w:cs="Times New Roman"/>
              </w:rPr>
            </w:pPr>
            <w:r w:rsidRPr="007B6978">
              <w:rPr>
                <w:rFonts w:eastAsia="ＭＳ ゴシック" w:cs="ＭＳ ゴシック" w:hint="eastAsia"/>
              </w:rPr>
              <w:t>次回が（　　）時間以内では１回分とばすこと</w:t>
            </w:r>
          </w:p>
          <w:p w:rsidR="006361E7" w:rsidRPr="007B6978" w:rsidRDefault="006361E7" w:rsidP="007D72AF">
            <w:pPr>
              <w:rPr>
                <w:rFonts w:eastAsia="ＭＳ ゴシック" w:cs="Times New Roman"/>
              </w:rPr>
            </w:pPr>
            <w:r w:rsidRPr="007B6978">
              <w:rPr>
                <w:rFonts w:eastAsia="ＭＳ ゴシック" w:cs="ＭＳ ゴシック" w:hint="eastAsia"/>
              </w:rPr>
              <w:t>□その日の服用量（１日量）は、その日に服用すること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eastAsia="ＭＳ ゴシック" w:cs="ＭＳ ゴシック" w:hint="eastAsia"/>
              </w:rPr>
              <w:t>□その他（　　　　　　　　　　　　　　　　　　　　　）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85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34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服用中止時の注意点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839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35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過量投与時の対処法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959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36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併用禁忌薬剤・理由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979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37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併用禁忌以外で特に注意が必要な相互作用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注意事項：　　　　　　　　回避方法：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54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38</w:t>
            </w:r>
          </w:p>
        </w:tc>
        <w:tc>
          <w:tcPr>
            <w:tcW w:w="2375" w:type="dxa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嗜好品・飲食物との相互作用</w:t>
            </w:r>
          </w:p>
        </w:tc>
        <w:tc>
          <w:tcPr>
            <w:tcW w:w="6100" w:type="dxa"/>
            <w:gridSpan w:val="8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詳細記載項目</w:t>
            </w:r>
            <w:r w:rsidRPr="007B6978">
              <w:rPr>
                <w:rFonts w:ascii="ＭＳ ゴシック" w:eastAsia="ＭＳ ゴシック" w:hAnsi="ＭＳ ゴシック" w:cs="ＭＳ ゴシック"/>
              </w:rPr>
              <w:t>2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参照</w:t>
            </w:r>
          </w:p>
        </w:tc>
        <w:tc>
          <w:tcPr>
            <w:tcW w:w="1558" w:type="dxa"/>
            <w:shd w:val="pct15" w:color="auto" w:fill="auto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955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39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服薬指導時に注意すべき事項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40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添加物等による過敏症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Ｐゴシック" w:eastAsia="ＭＳ Ｐゴシック" w:hAnsi="ＭＳ Ｐゴシック" w:cs="Times New Roman"/>
              </w:rPr>
            </w:pPr>
            <w:r w:rsidRPr="007B6978">
              <w:rPr>
                <w:rFonts w:ascii="ＭＳ Ｐゴシック" w:eastAsia="ＭＳ Ｐゴシック" w:hAnsi="ＭＳ Ｐゴシック" w:cs="ＭＳ Ｐゴシック" w:hint="eastAsia"/>
              </w:rPr>
              <w:t xml:space="preserve">原因物質（　　　　　　　　　　　　　　</w:t>
            </w:r>
            <w:r w:rsidRPr="007B6978">
              <w:rPr>
                <w:rFonts w:ascii="ＭＳ Ｐゴシック" w:eastAsia="ＭＳ Ｐゴシック" w:hAnsi="ＭＳ Ｐゴシック" w:cs="ＭＳ Ｐゴシック"/>
              </w:rPr>
              <w:t xml:space="preserve">            </w:t>
            </w:r>
            <w:r w:rsidRPr="007B6978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）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Ｐゴシック" w:eastAsia="ＭＳ Ｐゴシック" w:hAnsi="ＭＳ Ｐゴシック" w:cs="ＭＳ Ｐゴシック" w:hint="eastAsia"/>
              </w:rPr>
              <w:t>症状（　　　　　　　　　　　　　　　　　　　　　　　　　　　　　　　　　　　　）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作用機序・対応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                      )</w:t>
            </w: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6361E7" w:rsidRPr="007B6978">
        <w:trPr>
          <w:trHeight w:val="2740"/>
        </w:trPr>
        <w:tc>
          <w:tcPr>
            <w:tcW w:w="534" w:type="dxa"/>
            <w:shd w:val="pct15" w:color="auto" w:fill="auto"/>
            <w:vAlign w:val="center"/>
          </w:tcPr>
          <w:p w:rsidR="006361E7" w:rsidRPr="007B6978" w:rsidRDefault="006361E7" w:rsidP="0073083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41</w:t>
            </w:r>
          </w:p>
        </w:tc>
        <w:tc>
          <w:tcPr>
            <w:tcW w:w="2375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その他取扱い上の注意</w:t>
            </w:r>
          </w:p>
        </w:tc>
        <w:tc>
          <w:tcPr>
            <w:tcW w:w="6100" w:type="dxa"/>
            <w:gridSpan w:val="8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B6978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</w:tbl>
    <w:p w:rsidR="006361E7" w:rsidRPr="007B6978" w:rsidRDefault="006361E7">
      <w:pPr>
        <w:rPr>
          <w:rFonts w:cs="Times New Roman"/>
        </w:rPr>
      </w:pPr>
    </w:p>
    <w:p w:rsidR="006361E7" w:rsidRPr="007B6978" w:rsidRDefault="006361E7">
      <w:pPr>
        <w:widowControl/>
        <w:jc w:val="left"/>
        <w:rPr>
          <w:rFonts w:cs="Times New Roman"/>
        </w:rPr>
      </w:pPr>
      <w:r w:rsidRPr="007B6978">
        <w:rPr>
          <w:rFonts w:cs="Times New Roman"/>
        </w:rPr>
        <w:br w:type="page"/>
      </w:r>
    </w:p>
    <w:p w:rsidR="006361E7" w:rsidRPr="007B6978" w:rsidRDefault="006361E7" w:rsidP="00C23E8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7B697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[</w:t>
      </w:r>
      <w:r w:rsidRPr="007B69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詳細記載項目１</w:t>
      </w:r>
      <w:r w:rsidRPr="007B697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] </w:t>
      </w:r>
      <w:r w:rsidRPr="007B69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体内薬物動態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5260"/>
      </w:tblGrid>
      <w:tr w:rsidR="006361E7" w:rsidRPr="007B6978">
        <w:trPr>
          <w:trHeight w:val="617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代謝物の活性の有無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 xml:space="preserve">□有　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□無</w:t>
            </w:r>
          </w:p>
        </w:tc>
      </w:tr>
      <w:tr w:rsidR="006361E7" w:rsidRPr="007B6978">
        <w:trPr>
          <w:trHeight w:val="540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条件（投与量・対象者・回数・例数等）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548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Ｔ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max 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556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4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Ｔ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1/2 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536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5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Ｃ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max 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54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6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ＡＵＣ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7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作用発現時間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8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作用持続時間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9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バイオアベイラビリティ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10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分布容積及び組織移行性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11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有効血中濃度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12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中毒症状発現血中濃度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13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血漿蛋白結合率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14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吸収部位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15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7B6978">
              <w:rPr>
                <w:rFonts w:ascii="ＭＳ ゴシック" w:eastAsia="ＭＳ ゴシック" w:hAnsi="ＭＳ ゴシック" w:cs="ＭＳ ゴシック"/>
              </w:rPr>
              <w:t>pKa</w:t>
            </w:r>
            <w:proofErr w:type="spellEnd"/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16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吸収に影響を与える要因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 w:rsidP="00E01A5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17</w:t>
            </w:r>
          </w:p>
        </w:tc>
        <w:tc>
          <w:tcPr>
            <w:tcW w:w="4394" w:type="dxa"/>
            <w:vAlign w:val="center"/>
          </w:tcPr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投与量と血中濃度の関係</w:t>
            </w:r>
          </w:p>
          <w:p w:rsidR="006361E7" w:rsidRPr="007B6978" w:rsidRDefault="006361E7" w:rsidP="007D72A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（線形型薬物または非線形型薬物）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 w:rsidP="00E01A5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18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血液脳関門通過性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19</w:t>
            </w:r>
          </w:p>
        </w:tc>
        <w:tc>
          <w:tcPr>
            <w:tcW w:w="4394" w:type="dxa"/>
            <w:vAlign w:val="center"/>
          </w:tcPr>
          <w:p w:rsidR="006361E7" w:rsidRPr="007B6978" w:rsidRDefault="006361E7" w:rsidP="001669CB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代謝部位・分子種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20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排泄（部位・時間・％等）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21</w:t>
            </w:r>
          </w:p>
        </w:tc>
        <w:tc>
          <w:tcPr>
            <w:tcW w:w="4394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  <w:kern w:val="0"/>
              </w:rPr>
              <w:t>尿中未変化体排泄率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361E7" w:rsidRPr="007B6978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 w:rsidP="00F16F2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22</w:t>
            </w:r>
          </w:p>
        </w:tc>
        <w:tc>
          <w:tcPr>
            <w:tcW w:w="4394" w:type="dxa"/>
            <w:vAlign w:val="center"/>
          </w:tcPr>
          <w:p w:rsidR="006361E7" w:rsidRPr="007B6978" w:rsidRDefault="006361E7" w:rsidP="00F16F2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分配係数</w:t>
            </w:r>
          </w:p>
        </w:tc>
        <w:tc>
          <w:tcPr>
            <w:tcW w:w="5260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6361E7" w:rsidRPr="007B6978" w:rsidRDefault="006361E7">
      <w:pPr>
        <w:widowControl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7B6978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br w:type="page"/>
      </w:r>
    </w:p>
    <w:p w:rsidR="006361E7" w:rsidRPr="007B6978" w:rsidRDefault="006361E7" w:rsidP="00C23E8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7B697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[</w:t>
      </w:r>
      <w:r w:rsidRPr="007B69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詳細記載項目２</w:t>
      </w:r>
      <w:r w:rsidRPr="007B697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] </w:t>
      </w:r>
      <w:r w:rsidRPr="007B69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嗜好品・飲食物との相互作用</w:t>
      </w:r>
    </w:p>
    <w:tbl>
      <w:tblPr>
        <w:tblW w:w="10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709"/>
        <w:gridCol w:w="2976"/>
        <w:gridCol w:w="851"/>
        <w:gridCol w:w="2989"/>
      </w:tblGrid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23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アルコール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24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グレープフルーツ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ジュース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25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セントジョーンズ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ワート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26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牛乳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27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納豆・クロレラ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28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タバコ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29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緑茶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6361E7" w:rsidRPr="007B6978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B6978">
              <w:rPr>
                <w:rFonts w:ascii="ＭＳ ゴシック" w:eastAsia="ＭＳ ゴシック" w:hAnsi="ＭＳ ゴシック" w:cs="ＭＳ ゴシック"/>
              </w:rPr>
              <w:t>30</w:t>
            </w:r>
          </w:p>
        </w:tc>
        <w:tc>
          <w:tcPr>
            <w:tcW w:w="2126" w:type="dxa"/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（　　　　　　　）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7B697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B6978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6361E7" w:rsidRPr="007B6978" w:rsidRDefault="006361E7">
            <w:pPr>
              <w:rPr>
                <w:rFonts w:ascii="ＭＳ ゴシック" w:eastAsia="ＭＳ ゴシック" w:hAnsi="ＭＳ ゴシック" w:cs="Times New Roman"/>
              </w:rPr>
            </w:pPr>
            <w:r w:rsidRPr="007B6978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7B6978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</w:tbl>
    <w:p w:rsidR="006361E7" w:rsidRPr="007B6978" w:rsidRDefault="006361E7">
      <w:pPr>
        <w:rPr>
          <w:rFonts w:cs="Times New Roman"/>
        </w:rPr>
      </w:pPr>
    </w:p>
    <w:sectPr w:rsidR="006361E7" w:rsidRPr="007B6978" w:rsidSect="00140C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CC" w:rsidRDefault="007731CC" w:rsidP="009C48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31CC" w:rsidRDefault="007731CC" w:rsidP="009C48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CC" w:rsidRDefault="007731CC" w:rsidP="009C48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31CC" w:rsidRDefault="007731CC" w:rsidP="009C48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C39"/>
    <w:rsid w:val="000555CF"/>
    <w:rsid w:val="0013022A"/>
    <w:rsid w:val="00140C39"/>
    <w:rsid w:val="00154596"/>
    <w:rsid w:val="001669CB"/>
    <w:rsid w:val="001762F4"/>
    <w:rsid w:val="00191550"/>
    <w:rsid w:val="001C48AF"/>
    <w:rsid w:val="001E209D"/>
    <w:rsid w:val="001F3B42"/>
    <w:rsid w:val="00205FF2"/>
    <w:rsid w:val="00263956"/>
    <w:rsid w:val="0029498F"/>
    <w:rsid w:val="002B1183"/>
    <w:rsid w:val="002B2BFF"/>
    <w:rsid w:val="003859B0"/>
    <w:rsid w:val="003E499A"/>
    <w:rsid w:val="00452EB6"/>
    <w:rsid w:val="004722F3"/>
    <w:rsid w:val="004D7CBB"/>
    <w:rsid w:val="004E5CC2"/>
    <w:rsid w:val="005336B6"/>
    <w:rsid w:val="00536B97"/>
    <w:rsid w:val="005908E4"/>
    <w:rsid w:val="005A2D9E"/>
    <w:rsid w:val="005D2B56"/>
    <w:rsid w:val="006361E7"/>
    <w:rsid w:val="006401C7"/>
    <w:rsid w:val="006551E5"/>
    <w:rsid w:val="006B7025"/>
    <w:rsid w:val="006D483A"/>
    <w:rsid w:val="00716801"/>
    <w:rsid w:val="00717EF1"/>
    <w:rsid w:val="00730835"/>
    <w:rsid w:val="007731CC"/>
    <w:rsid w:val="00783418"/>
    <w:rsid w:val="00790FC8"/>
    <w:rsid w:val="007B6978"/>
    <w:rsid w:val="007D72AF"/>
    <w:rsid w:val="00850DF5"/>
    <w:rsid w:val="008569C8"/>
    <w:rsid w:val="00893F74"/>
    <w:rsid w:val="008B41F8"/>
    <w:rsid w:val="008C3B0C"/>
    <w:rsid w:val="00914CA0"/>
    <w:rsid w:val="0093247B"/>
    <w:rsid w:val="009C48E9"/>
    <w:rsid w:val="00A1505F"/>
    <w:rsid w:val="00A6359B"/>
    <w:rsid w:val="00A707F6"/>
    <w:rsid w:val="00AC52F0"/>
    <w:rsid w:val="00AF63E8"/>
    <w:rsid w:val="00B707A1"/>
    <w:rsid w:val="00B93186"/>
    <w:rsid w:val="00BB0E4D"/>
    <w:rsid w:val="00C23E8B"/>
    <w:rsid w:val="00C52800"/>
    <w:rsid w:val="00C871F8"/>
    <w:rsid w:val="00CC1B1B"/>
    <w:rsid w:val="00CE0EEA"/>
    <w:rsid w:val="00D52B64"/>
    <w:rsid w:val="00DB1ED9"/>
    <w:rsid w:val="00E01A58"/>
    <w:rsid w:val="00E14F1D"/>
    <w:rsid w:val="00E17186"/>
    <w:rsid w:val="00E33B63"/>
    <w:rsid w:val="00EC53AC"/>
    <w:rsid w:val="00ED03F0"/>
    <w:rsid w:val="00EF15B2"/>
    <w:rsid w:val="00F16F27"/>
    <w:rsid w:val="00F32EBC"/>
    <w:rsid w:val="00F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3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48E9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9C4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8E9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3B4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B42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>Toshiba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</dc:creator>
  <cp:keywords/>
  <dc:description/>
  <cp:lastModifiedBy>兵庫県</cp:lastModifiedBy>
  <cp:revision>5</cp:revision>
  <cp:lastPrinted>2013-01-23T12:24:00Z</cp:lastPrinted>
  <dcterms:created xsi:type="dcterms:W3CDTF">2013-01-16T16:18:00Z</dcterms:created>
  <dcterms:modified xsi:type="dcterms:W3CDTF">2013-03-07T00:21:00Z</dcterms:modified>
</cp:coreProperties>
</file>